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DE" w:rsidRDefault="00EB13DE" w:rsidP="005410A2">
      <w:pPr>
        <w:pStyle w:val="NormalWeb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:rsidR="00033BE1" w:rsidRPr="000F7A76" w:rsidRDefault="00AF411A" w:rsidP="005410A2">
      <w:pPr>
        <w:pStyle w:val="NormalWeb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F7A76">
        <w:rPr>
          <w:rFonts w:ascii="Arial" w:hAnsi="Arial" w:cs="Arial"/>
          <w:b/>
          <w:bCs/>
        </w:rPr>
        <w:t xml:space="preserve">NOTA ACERCA DE LA APLICACIÓN </w:t>
      </w:r>
      <w:r w:rsidR="005410A2">
        <w:rPr>
          <w:rFonts w:ascii="Arial" w:hAnsi="Arial" w:cs="Arial"/>
          <w:b/>
          <w:bCs/>
        </w:rPr>
        <w:t xml:space="preserve">EN EL ÁMBITO DEL TRIBUNAL DE CUENTAS </w:t>
      </w:r>
      <w:r w:rsidRPr="000F7A76">
        <w:rPr>
          <w:rFonts w:ascii="Arial" w:hAnsi="Arial" w:cs="Arial"/>
          <w:b/>
          <w:bCs/>
        </w:rPr>
        <w:t xml:space="preserve">DEL ARTÍCULO 48 DEL REAL DECRETO-LEY 11/2020, DE 31 DE MARZO, POR EL QUE SE ADOPTAN MEDIDAS URGENTES COMPLEMENTARIAS EN EL ÁMBITO SOCIAL Y ECONÓMICO PARA HACER FRENTE AL COVID-19 </w:t>
      </w:r>
    </w:p>
    <w:p w:rsidR="001E25FC" w:rsidRPr="000F7A76" w:rsidRDefault="001E25FC" w:rsidP="005410A2">
      <w:pPr>
        <w:spacing w:line="360" w:lineRule="auto"/>
        <w:jc w:val="both"/>
        <w:rPr>
          <w:rFonts w:ascii="Arial" w:hAnsi="Arial" w:cs="Arial"/>
        </w:rPr>
      </w:pPr>
    </w:p>
    <w:p w:rsidR="00C957B3" w:rsidRPr="000F7A76" w:rsidRDefault="00C957B3" w:rsidP="005410A2">
      <w:pPr>
        <w:spacing w:line="360" w:lineRule="auto"/>
        <w:jc w:val="both"/>
        <w:rPr>
          <w:rFonts w:ascii="Arial" w:hAnsi="Arial" w:cs="Arial"/>
          <w:b/>
          <w:bCs/>
        </w:rPr>
      </w:pPr>
      <w:r w:rsidRPr="000F7A76">
        <w:rPr>
          <w:rFonts w:ascii="Arial" w:hAnsi="Arial" w:cs="Arial"/>
          <w:b/>
          <w:bCs/>
        </w:rPr>
        <w:t xml:space="preserve">1.- </w:t>
      </w:r>
      <w:r w:rsidR="009D3294">
        <w:rPr>
          <w:rFonts w:ascii="Arial" w:hAnsi="Arial" w:cs="Arial"/>
          <w:b/>
          <w:bCs/>
        </w:rPr>
        <w:t>Contenido d</w:t>
      </w:r>
      <w:r w:rsidRPr="000F7A76">
        <w:rPr>
          <w:rFonts w:ascii="Arial" w:hAnsi="Arial" w:cs="Arial"/>
          <w:b/>
          <w:bCs/>
        </w:rPr>
        <w:t>el artículo 48 del Real Decreto-Ley 11/2020</w:t>
      </w:r>
    </w:p>
    <w:p w:rsidR="00C957B3" w:rsidRPr="000F7A76" w:rsidRDefault="00C957B3" w:rsidP="005410A2">
      <w:pPr>
        <w:spacing w:line="360" w:lineRule="auto"/>
        <w:jc w:val="both"/>
        <w:rPr>
          <w:rFonts w:ascii="Arial" w:hAnsi="Arial" w:cs="Arial"/>
        </w:rPr>
      </w:pPr>
    </w:p>
    <w:p w:rsidR="005410A2" w:rsidRPr="000F7A76" w:rsidRDefault="005410A2" w:rsidP="005410A2">
      <w:pPr>
        <w:pStyle w:val="NormalWeb"/>
        <w:spacing w:line="360" w:lineRule="auto"/>
        <w:jc w:val="both"/>
        <w:rPr>
          <w:rFonts w:ascii="Arial" w:hAnsi="Arial" w:cs="Arial"/>
        </w:rPr>
      </w:pPr>
      <w:r w:rsidRPr="005410A2">
        <w:rPr>
          <w:rFonts w:ascii="Arial" w:hAnsi="Arial" w:cs="Arial"/>
        </w:rPr>
        <w:t xml:space="preserve">El </w:t>
      </w:r>
      <w:proofErr w:type="spellStart"/>
      <w:r w:rsidRPr="005410A2">
        <w:rPr>
          <w:rFonts w:ascii="Arial" w:hAnsi="Arial" w:cs="Arial"/>
        </w:rPr>
        <w:t>artículo</w:t>
      </w:r>
      <w:proofErr w:type="spellEnd"/>
      <w:r w:rsidRPr="005410A2">
        <w:rPr>
          <w:rFonts w:ascii="Arial" w:hAnsi="Arial" w:cs="Arial"/>
        </w:rPr>
        <w:t xml:space="preserve"> 48 del Real Decreto-Ley 11/2020</w:t>
      </w:r>
      <w:r>
        <w:rPr>
          <w:rFonts w:ascii="Arial" w:hAnsi="Arial" w:cs="Arial"/>
        </w:rPr>
        <w:t xml:space="preserve">, </w:t>
      </w:r>
      <w:r w:rsidR="0098321A">
        <w:rPr>
          <w:rFonts w:ascii="Arial" w:hAnsi="Arial" w:cs="Arial"/>
        </w:rPr>
        <w:t>establece lo siguiente:</w:t>
      </w:r>
      <w:r w:rsidRPr="000F7A76">
        <w:rPr>
          <w:rFonts w:ascii="Arial" w:hAnsi="Arial" w:cs="Arial"/>
          <w:i/>
          <w:iCs/>
        </w:rPr>
        <w:t xml:space="preserve"> </w:t>
      </w:r>
    </w:p>
    <w:p w:rsidR="005410A2" w:rsidRPr="0098321A" w:rsidRDefault="005410A2" w:rsidP="0098321A">
      <w:pPr>
        <w:pStyle w:val="NormalWeb"/>
        <w:spacing w:line="36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98321A">
        <w:rPr>
          <w:rFonts w:ascii="Arial" w:hAnsi="Arial" w:cs="Arial"/>
          <w:i/>
          <w:iCs/>
          <w:sz w:val="20"/>
          <w:szCs w:val="20"/>
        </w:rPr>
        <w:t xml:space="preserve">1. Las entidades de derecho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público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pertenecientes al sector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público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estatal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procurarán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formular y rendir las cuentas anuales de 2019 de acuerdo con los plazos previstos en la normativa. No obstante, cuando con motivo 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declaración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 estado de alarma ello no fuera posible y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asi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́ fuera acordado y comunicado por el cuentadante a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Intervención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General 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Administración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del Estado,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quedarán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suspendidos los plazos previstos en la normativa que resultara de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aplicación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, desde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declaración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 dicho estado,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reanudándose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su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cómputo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cuando desaparezca dicha circunstancia o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ampliándose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el plazo previsto en un periodo equivalente al 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duración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efectiva del estado de alarma. </w:t>
      </w:r>
    </w:p>
    <w:p w:rsidR="005410A2" w:rsidRPr="0098321A" w:rsidRDefault="005410A2" w:rsidP="0098321A">
      <w:pPr>
        <w:pStyle w:val="NormalWeb"/>
        <w:spacing w:line="36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98321A">
        <w:rPr>
          <w:rFonts w:ascii="Arial" w:hAnsi="Arial" w:cs="Arial"/>
          <w:i/>
          <w:iCs/>
          <w:sz w:val="20"/>
          <w:szCs w:val="20"/>
        </w:rPr>
        <w:t xml:space="preserve">2. De la misma forma, los plazos previstos en la normativa reguladora 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remisión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 las cuentas y el resto 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información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financiera al Tribunal de Cuentas,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quedarán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suspendidos desde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declaración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del estado de alarma,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reanudándose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su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cómputo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cuando desaparezca dicha circunstancia o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ampliándose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el plazo previsto en un periodo equivalente al de la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duración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efectiva del estado de alarma. </w:t>
      </w:r>
    </w:p>
    <w:p w:rsidR="005410A2" w:rsidRPr="0098321A" w:rsidRDefault="005410A2" w:rsidP="0098321A">
      <w:pPr>
        <w:pStyle w:val="NormalWeb"/>
        <w:spacing w:line="360" w:lineRule="auto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 w:rsidRPr="0098321A">
        <w:rPr>
          <w:rFonts w:ascii="Arial" w:hAnsi="Arial" w:cs="Arial"/>
          <w:i/>
          <w:iCs/>
          <w:sz w:val="20"/>
          <w:szCs w:val="20"/>
        </w:rPr>
        <w:t xml:space="preserve">3. Las previsiones anteriores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serán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aplicación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al sector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público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local, afectando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también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a los plazos de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tramitación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de la Cuenta General en la entidad local, y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podrán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ser de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aplicación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supletoria al sector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público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8321A">
        <w:rPr>
          <w:rFonts w:ascii="Arial" w:hAnsi="Arial" w:cs="Arial"/>
          <w:i/>
          <w:iCs/>
          <w:sz w:val="20"/>
          <w:szCs w:val="20"/>
        </w:rPr>
        <w:t>autonómico</w:t>
      </w:r>
      <w:proofErr w:type="spellEnd"/>
      <w:r w:rsidRPr="0098321A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1E25FC" w:rsidRPr="0098321A" w:rsidRDefault="001E25FC" w:rsidP="005410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25FC" w:rsidRPr="000F7A76" w:rsidRDefault="001E25FC" w:rsidP="005410A2">
      <w:p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El apartado 1 </w:t>
      </w:r>
      <w:r w:rsidR="00B94921">
        <w:rPr>
          <w:rFonts w:ascii="Arial" w:hAnsi="Arial" w:cs="Arial"/>
        </w:rPr>
        <w:t>regula</w:t>
      </w:r>
      <w:r w:rsidRPr="000F7A76">
        <w:rPr>
          <w:rFonts w:ascii="Arial" w:hAnsi="Arial" w:cs="Arial"/>
        </w:rPr>
        <w:t xml:space="preserve"> la remisión de las cuentas por las entidades de derecho público del sector público estatal a la I</w:t>
      </w:r>
      <w:r w:rsidR="0098321A">
        <w:rPr>
          <w:rFonts w:ascii="Arial" w:hAnsi="Arial" w:cs="Arial"/>
        </w:rPr>
        <w:t>ntervención General de la Administración del Estado (I</w:t>
      </w:r>
      <w:r w:rsidRPr="000F7A76">
        <w:rPr>
          <w:rFonts w:ascii="Arial" w:hAnsi="Arial" w:cs="Arial"/>
        </w:rPr>
        <w:t>GAE</w:t>
      </w:r>
      <w:r w:rsidR="0098321A">
        <w:rPr>
          <w:rFonts w:ascii="Arial" w:hAnsi="Arial" w:cs="Arial"/>
        </w:rPr>
        <w:t>)</w:t>
      </w:r>
      <w:r w:rsidRPr="000F7A76">
        <w:rPr>
          <w:rFonts w:ascii="Arial" w:hAnsi="Arial" w:cs="Arial"/>
        </w:rPr>
        <w:t xml:space="preserve">, mientras que el </w:t>
      </w:r>
      <w:r w:rsidR="000E5950">
        <w:rPr>
          <w:rFonts w:ascii="Arial" w:hAnsi="Arial" w:cs="Arial"/>
        </w:rPr>
        <w:t>apartado 2</w:t>
      </w:r>
      <w:r w:rsidRPr="000F7A76">
        <w:rPr>
          <w:rFonts w:ascii="Arial" w:hAnsi="Arial" w:cs="Arial"/>
        </w:rPr>
        <w:t xml:space="preserve"> se ocupa de la remisión </w:t>
      </w:r>
      <w:r w:rsidR="00AD3ECE" w:rsidRPr="00B94921">
        <w:rPr>
          <w:rFonts w:ascii="Arial" w:hAnsi="Arial" w:cs="Arial"/>
          <w:i/>
          <w:iCs/>
        </w:rPr>
        <w:t xml:space="preserve">“de las cuentas y el resto de la </w:t>
      </w:r>
      <w:proofErr w:type="spellStart"/>
      <w:r w:rsidR="00AD3ECE" w:rsidRPr="00B94921">
        <w:rPr>
          <w:rFonts w:ascii="Arial" w:hAnsi="Arial" w:cs="Arial"/>
          <w:i/>
          <w:iCs/>
        </w:rPr>
        <w:t>información</w:t>
      </w:r>
      <w:proofErr w:type="spellEnd"/>
      <w:r w:rsidR="00AD3ECE" w:rsidRPr="00B94921">
        <w:rPr>
          <w:rFonts w:ascii="Arial" w:hAnsi="Arial" w:cs="Arial"/>
          <w:i/>
          <w:iCs/>
        </w:rPr>
        <w:t xml:space="preserve"> financiera”</w:t>
      </w:r>
      <w:r w:rsidRPr="000F7A76">
        <w:rPr>
          <w:rFonts w:ascii="Arial" w:hAnsi="Arial" w:cs="Arial"/>
        </w:rPr>
        <w:t xml:space="preserve"> </w:t>
      </w:r>
      <w:r w:rsidR="00AD3ECE" w:rsidRPr="000F7A76">
        <w:rPr>
          <w:rFonts w:ascii="Arial" w:hAnsi="Arial" w:cs="Arial"/>
        </w:rPr>
        <w:t>al Tribunal de Cuentas</w:t>
      </w:r>
      <w:r w:rsidR="0098321A">
        <w:rPr>
          <w:rFonts w:ascii="Arial" w:hAnsi="Arial" w:cs="Arial"/>
        </w:rPr>
        <w:t>, y el tercero prevé la aplicación de la misma regulación a las entidades del sector público local</w:t>
      </w:r>
      <w:r w:rsidR="00AD3ECE" w:rsidRPr="000F7A76">
        <w:rPr>
          <w:rFonts w:ascii="Arial" w:hAnsi="Arial" w:cs="Arial"/>
        </w:rPr>
        <w:t>.</w:t>
      </w:r>
    </w:p>
    <w:p w:rsidR="00AD3ECE" w:rsidRPr="000F7A76" w:rsidRDefault="00AD3ECE" w:rsidP="005410A2">
      <w:pPr>
        <w:spacing w:line="360" w:lineRule="auto"/>
        <w:jc w:val="both"/>
        <w:rPr>
          <w:rFonts w:ascii="Arial" w:hAnsi="Arial" w:cs="Arial"/>
        </w:rPr>
      </w:pPr>
    </w:p>
    <w:p w:rsidR="00AD3ECE" w:rsidRPr="000F7A76" w:rsidRDefault="00AD3ECE" w:rsidP="005410A2">
      <w:p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El apartado 1 establece como primera provisión que las entidades </w:t>
      </w:r>
      <w:r w:rsidRPr="00B94921">
        <w:rPr>
          <w:rFonts w:ascii="Arial" w:hAnsi="Arial" w:cs="Arial"/>
          <w:i/>
          <w:iCs/>
        </w:rPr>
        <w:t>“</w:t>
      </w:r>
      <w:proofErr w:type="spellStart"/>
      <w:r w:rsidRPr="00B94921">
        <w:rPr>
          <w:rFonts w:ascii="Arial" w:hAnsi="Arial" w:cs="Arial"/>
          <w:i/>
          <w:iCs/>
        </w:rPr>
        <w:t>procurarán</w:t>
      </w:r>
      <w:proofErr w:type="spellEnd"/>
      <w:r w:rsidRPr="00B94921">
        <w:rPr>
          <w:rFonts w:ascii="Arial" w:hAnsi="Arial" w:cs="Arial"/>
          <w:i/>
          <w:iCs/>
        </w:rPr>
        <w:t xml:space="preserve"> formular y rendir las cuentas anuales de 2019 de acuerdo con los plazos previstos en la normativa”</w:t>
      </w:r>
      <w:r w:rsidRPr="000F7A76">
        <w:rPr>
          <w:rFonts w:ascii="Arial" w:hAnsi="Arial" w:cs="Arial"/>
        </w:rPr>
        <w:t>. En segundo lugar</w:t>
      </w:r>
      <w:r w:rsidR="00A90F28" w:rsidRPr="000F7A76">
        <w:rPr>
          <w:rFonts w:ascii="Arial" w:hAnsi="Arial" w:cs="Arial"/>
        </w:rPr>
        <w:t>,</w:t>
      </w:r>
      <w:r w:rsidR="00663269" w:rsidRPr="000F7A76">
        <w:rPr>
          <w:rFonts w:ascii="Arial" w:hAnsi="Arial" w:cs="Arial"/>
        </w:rPr>
        <w:t xml:space="preserve"> prevé que, </w:t>
      </w:r>
      <w:r w:rsidR="00663269" w:rsidRPr="00B94921">
        <w:rPr>
          <w:rFonts w:ascii="Arial" w:hAnsi="Arial" w:cs="Arial"/>
          <w:i/>
          <w:iCs/>
        </w:rPr>
        <w:t>“</w:t>
      </w:r>
      <w:r w:rsidRPr="00B94921">
        <w:rPr>
          <w:rFonts w:ascii="Arial" w:hAnsi="Arial" w:cs="Arial"/>
          <w:i/>
          <w:iCs/>
        </w:rPr>
        <w:t xml:space="preserve">cuando con motivo de la </w:t>
      </w:r>
      <w:proofErr w:type="spellStart"/>
      <w:r w:rsidRPr="00B94921">
        <w:rPr>
          <w:rFonts w:ascii="Arial" w:hAnsi="Arial" w:cs="Arial"/>
          <w:i/>
          <w:iCs/>
        </w:rPr>
        <w:t>declaración</w:t>
      </w:r>
      <w:proofErr w:type="spellEnd"/>
      <w:r w:rsidRPr="00B94921">
        <w:rPr>
          <w:rFonts w:ascii="Arial" w:hAnsi="Arial" w:cs="Arial"/>
          <w:i/>
          <w:iCs/>
        </w:rPr>
        <w:t xml:space="preserve"> de estado de alarma ello no fuera posible y </w:t>
      </w:r>
      <w:proofErr w:type="spellStart"/>
      <w:r w:rsidRPr="00B94921">
        <w:rPr>
          <w:rFonts w:ascii="Arial" w:hAnsi="Arial" w:cs="Arial"/>
          <w:i/>
          <w:iCs/>
        </w:rPr>
        <w:t>asi</w:t>
      </w:r>
      <w:proofErr w:type="spellEnd"/>
      <w:r w:rsidRPr="00B94921">
        <w:rPr>
          <w:rFonts w:ascii="Arial" w:hAnsi="Arial" w:cs="Arial"/>
          <w:i/>
          <w:iCs/>
        </w:rPr>
        <w:t xml:space="preserve">́ fuera acordado y comunicado por el cuentadante a la </w:t>
      </w:r>
      <w:proofErr w:type="spellStart"/>
      <w:r w:rsidRPr="00B94921">
        <w:rPr>
          <w:rFonts w:ascii="Arial" w:hAnsi="Arial" w:cs="Arial"/>
          <w:i/>
          <w:iCs/>
        </w:rPr>
        <w:t>Intervención</w:t>
      </w:r>
      <w:proofErr w:type="spellEnd"/>
      <w:r w:rsidRPr="00B94921">
        <w:rPr>
          <w:rFonts w:ascii="Arial" w:hAnsi="Arial" w:cs="Arial"/>
          <w:i/>
          <w:iCs/>
        </w:rPr>
        <w:t xml:space="preserve"> General de la </w:t>
      </w:r>
      <w:proofErr w:type="spellStart"/>
      <w:r w:rsidRPr="00B94921">
        <w:rPr>
          <w:rFonts w:ascii="Arial" w:hAnsi="Arial" w:cs="Arial"/>
          <w:i/>
          <w:iCs/>
        </w:rPr>
        <w:t>Administración</w:t>
      </w:r>
      <w:proofErr w:type="spellEnd"/>
      <w:r w:rsidRPr="00B94921">
        <w:rPr>
          <w:rFonts w:ascii="Arial" w:hAnsi="Arial" w:cs="Arial"/>
          <w:i/>
          <w:iCs/>
        </w:rPr>
        <w:t xml:space="preserve"> del Estado</w:t>
      </w:r>
      <w:r w:rsidR="00663269" w:rsidRPr="00B94921">
        <w:rPr>
          <w:rFonts w:ascii="Arial" w:hAnsi="Arial" w:cs="Arial"/>
          <w:i/>
          <w:iCs/>
        </w:rPr>
        <w:t>”</w:t>
      </w:r>
      <w:r w:rsidRPr="000F7A76">
        <w:rPr>
          <w:rFonts w:ascii="Arial" w:hAnsi="Arial" w:cs="Arial"/>
        </w:rPr>
        <w:t xml:space="preserve">, </w:t>
      </w:r>
      <w:proofErr w:type="spellStart"/>
      <w:r w:rsidRPr="000F7A76">
        <w:rPr>
          <w:rFonts w:ascii="Arial" w:hAnsi="Arial" w:cs="Arial"/>
        </w:rPr>
        <w:t>quedarán</w:t>
      </w:r>
      <w:proofErr w:type="spellEnd"/>
      <w:r w:rsidRPr="000F7A76">
        <w:rPr>
          <w:rFonts w:ascii="Arial" w:hAnsi="Arial" w:cs="Arial"/>
        </w:rPr>
        <w:t xml:space="preserve"> suspendidos los plazos</w:t>
      </w:r>
      <w:r w:rsidR="00663269" w:rsidRPr="000F7A76">
        <w:rPr>
          <w:rFonts w:ascii="Arial" w:hAnsi="Arial" w:cs="Arial"/>
        </w:rPr>
        <w:t xml:space="preserve"> desde la declaración del estado de alarma. Es decir, la suspensión de plazos solo opera si se cumplen los tres siguientes requisitos:</w:t>
      </w:r>
    </w:p>
    <w:p w:rsidR="00663269" w:rsidRPr="000F7A76" w:rsidRDefault="00663269" w:rsidP="005410A2">
      <w:pPr>
        <w:spacing w:line="360" w:lineRule="auto"/>
        <w:jc w:val="both"/>
        <w:rPr>
          <w:rFonts w:ascii="Arial" w:hAnsi="Arial" w:cs="Arial"/>
        </w:rPr>
      </w:pPr>
    </w:p>
    <w:p w:rsidR="00663269" w:rsidRPr="000F7A76" w:rsidRDefault="00663269" w:rsidP="005410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>Que no fuera posible remitir las cuentas a la IGAE en plazo como consecuencia de la situación generada por la declaración del estado de alarma.</w:t>
      </w:r>
    </w:p>
    <w:p w:rsidR="00663269" w:rsidRPr="000F7A76" w:rsidRDefault="00663269" w:rsidP="005410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>Que la entidad “acuerde”, más bien, debería decir “declare” que no puede cumplir el plazo.</w:t>
      </w:r>
    </w:p>
    <w:p w:rsidR="00663269" w:rsidRPr="000F7A76" w:rsidRDefault="00663269" w:rsidP="005410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>Que la entidad comunique su imposibilidad a la IGAE.</w:t>
      </w:r>
    </w:p>
    <w:p w:rsidR="00663269" w:rsidRPr="000F7A76" w:rsidRDefault="00663269" w:rsidP="005410A2">
      <w:pPr>
        <w:spacing w:line="360" w:lineRule="auto"/>
        <w:jc w:val="both"/>
        <w:rPr>
          <w:rFonts w:ascii="Arial" w:hAnsi="Arial" w:cs="Arial"/>
        </w:rPr>
      </w:pPr>
    </w:p>
    <w:p w:rsidR="00FD471C" w:rsidRPr="000F7A76" w:rsidRDefault="00663269" w:rsidP="005410A2">
      <w:p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El apartado 2 </w:t>
      </w:r>
      <w:r w:rsidR="00EB13DE">
        <w:rPr>
          <w:rFonts w:ascii="Arial" w:hAnsi="Arial" w:cs="Arial"/>
        </w:rPr>
        <w:t>se refiere</w:t>
      </w:r>
      <w:r w:rsidRPr="000F7A76">
        <w:rPr>
          <w:rFonts w:ascii="Arial" w:hAnsi="Arial" w:cs="Arial"/>
        </w:rPr>
        <w:t xml:space="preserve"> al plazo de remisión </w:t>
      </w:r>
      <w:r w:rsidRPr="00B94921">
        <w:rPr>
          <w:rFonts w:ascii="Arial" w:hAnsi="Arial" w:cs="Arial"/>
          <w:i/>
          <w:iCs/>
        </w:rPr>
        <w:t xml:space="preserve">“de las cuentas y el resto de la </w:t>
      </w:r>
      <w:proofErr w:type="spellStart"/>
      <w:r w:rsidRPr="00B94921">
        <w:rPr>
          <w:rFonts w:ascii="Arial" w:hAnsi="Arial" w:cs="Arial"/>
          <w:i/>
          <w:iCs/>
        </w:rPr>
        <w:t>información</w:t>
      </w:r>
      <w:proofErr w:type="spellEnd"/>
      <w:r w:rsidRPr="00B94921">
        <w:rPr>
          <w:rFonts w:ascii="Arial" w:hAnsi="Arial" w:cs="Arial"/>
          <w:i/>
          <w:iCs/>
        </w:rPr>
        <w:t xml:space="preserve"> financiera” al Tribunal de Cuentas</w:t>
      </w:r>
      <w:r w:rsidRPr="000F7A76">
        <w:rPr>
          <w:rFonts w:ascii="Arial" w:hAnsi="Arial" w:cs="Arial"/>
        </w:rPr>
        <w:t xml:space="preserve">”. La interpretación de este precepto, tanto desde un punto de vista teleológico como gramatical (artículo 3 del Código Civil) </w:t>
      </w:r>
      <w:r w:rsidR="00B4377A" w:rsidRPr="000F7A76">
        <w:rPr>
          <w:rFonts w:ascii="Arial" w:hAnsi="Arial" w:cs="Arial"/>
        </w:rPr>
        <w:t xml:space="preserve">nos lleva a entender que la suspensión del plazo de remisión al Tribunal está supeditada igualmente al cumplimiento de los tres requisitos </w:t>
      </w:r>
      <w:r w:rsidR="00B4377A" w:rsidRPr="000F7A76">
        <w:rPr>
          <w:rFonts w:ascii="Arial" w:hAnsi="Arial" w:cs="Arial"/>
        </w:rPr>
        <w:lastRenderedPageBreak/>
        <w:t xml:space="preserve">referidos en el apartado 1, si bien en este caso a quien </w:t>
      </w:r>
      <w:r w:rsidR="00EB13DE">
        <w:rPr>
          <w:rFonts w:ascii="Arial" w:hAnsi="Arial" w:cs="Arial"/>
        </w:rPr>
        <w:t>debe</w:t>
      </w:r>
      <w:r w:rsidR="00794CA4" w:rsidRPr="000F7A76">
        <w:rPr>
          <w:rFonts w:ascii="Arial" w:hAnsi="Arial" w:cs="Arial"/>
        </w:rPr>
        <w:t xml:space="preserve"> comunicar</w:t>
      </w:r>
      <w:r w:rsidR="00EB13DE">
        <w:rPr>
          <w:rFonts w:ascii="Arial" w:hAnsi="Arial" w:cs="Arial"/>
        </w:rPr>
        <w:t>se</w:t>
      </w:r>
      <w:r w:rsidR="00B4377A" w:rsidRPr="000F7A76">
        <w:rPr>
          <w:rFonts w:ascii="Arial" w:hAnsi="Arial" w:cs="Arial"/>
        </w:rPr>
        <w:t xml:space="preserve"> la imposibilidad de cumplir el plazo es al Tribunal de Cuentas. La finalidad de este apartado 2 no puede ser distinta a la del apartado 1: que las entidades y órganos encargados de remitir la información procuren cumplir los plazos y que solo en caso de imposibilidad se suspenda el plazo, previ</w:t>
      </w:r>
      <w:r w:rsidR="006A5E8B">
        <w:rPr>
          <w:rFonts w:ascii="Arial" w:hAnsi="Arial" w:cs="Arial"/>
        </w:rPr>
        <w:t>o3</w:t>
      </w:r>
      <w:r w:rsidR="00B4377A" w:rsidRPr="000F7A76">
        <w:rPr>
          <w:rFonts w:ascii="Arial" w:hAnsi="Arial" w:cs="Arial"/>
        </w:rPr>
        <w:t xml:space="preserve"> acuerdo del obligado a remitir la información y comunicación al receptor. No estaría justificado que las entidades del sector público </w:t>
      </w:r>
      <w:r w:rsidR="00EB13DE">
        <w:rPr>
          <w:rFonts w:ascii="Arial" w:hAnsi="Arial" w:cs="Arial"/>
        </w:rPr>
        <w:t xml:space="preserve">estuvieran obligadas a </w:t>
      </w:r>
      <w:r w:rsidR="00B4377A" w:rsidRPr="000F7A76">
        <w:rPr>
          <w:rFonts w:ascii="Arial" w:hAnsi="Arial" w:cs="Arial"/>
        </w:rPr>
        <w:t xml:space="preserve">procurar cumplir los plazos con la IGAE en cuanto a la remisión de cuentas, y la IGAE no lo estuviera </w:t>
      </w:r>
      <w:r w:rsidR="00794CA4" w:rsidRPr="000F7A76">
        <w:rPr>
          <w:rFonts w:ascii="Arial" w:hAnsi="Arial" w:cs="Arial"/>
        </w:rPr>
        <w:t xml:space="preserve">igualmente </w:t>
      </w:r>
      <w:r w:rsidR="00B4377A" w:rsidRPr="000F7A76">
        <w:rPr>
          <w:rFonts w:ascii="Arial" w:hAnsi="Arial" w:cs="Arial"/>
        </w:rPr>
        <w:t xml:space="preserve">respecto </w:t>
      </w:r>
      <w:r w:rsidR="00A90F28" w:rsidRPr="000F7A76">
        <w:rPr>
          <w:rFonts w:ascii="Arial" w:hAnsi="Arial" w:cs="Arial"/>
        </w:rPr>
        <w:t>de</w:t>
      </w:r>
      <w:r w:rsidR="00B4377A" w:rsidRPr="000F7A76">
        <w:rPr>
          <w:rFonts w:ascii="Arial" w:hAnsi="Arial" w:cs="Arial"/>
        </w:rPr>
        <w:t>l plazo en que debe remitir</w:t>
      </w:r>
      <w:r w:rsidR="00EB13DE">
        <w:rPr>
          <w:rFonts w:ascii="Arial" w:hAnsi="Arial" w:cs="Arial"/>
        </w:rPr>
        <w:t>las</w:t>
      </w:r>
      <w:r w:rsidR="000F4C29" w:rsidRPr="000F7A76">
        <w:rPr>
          <w:rFonts w:ascii="Arial" w:hAnsi="Arial" w:cs="Arial"/>
        </w:rPr>
        <w:t xml:space="preserve"> a su vez</w:t>
      </w:r>
      <w:r w:rsidR="00B4377A" w:rsidRPr="000F7A76">
        <w:rPr>
          <w:rFonts w:ascii="Arial" w:hAnsi="Arial" w:cs="Arial"/>
        </w:rPr>
        <w:t xml:space="preserve"> al Tribunal de Cuentas.</w:t>
      </w:r>
      <w:r w:rsidR="000F4C29" w:rsidRPr="000F7A76">
        <w:rPr>
          <w:rFonts w:ascii="Arial" w:hAnsi="Arial" w:cs="Arial"/>
        </w:rPr>
        <w:t xml:space="preserve"> El propio tenor literal del apartado 2 así lo establece, al iniciar la </w:t>
      </w:r>
      <w:r w:rsidR="00A90F28" w:rsidRPr="000F7A76">
        <w:rPr>
          <w:rFonts w:ascii="Arial" w:hAnsi="Arial" w:cs="Arial"/>
        </w:rPr>
        <w:t xml:space="preserve">disposición </w:t>
      </w:r>
      <w:r w:rsidR="000F4C29" w:rsidRPr="000F7A76">
        <w:rPr>
          <w:rFonts w:ascii="Arial" w:hAnsi="Arial" w:cs="Arial"/>
        </w:rPr>
        <w:t xml:space="preserve">que establece la suspensión con la expresión </w:t>
      </w:r>
      <w:r w:rsidR="000F4C29" w:rsidRPr="00EB13DE">
        <w:rPr>
          <w:rFonts w:ascii="Arial" w:hAnsi="Arial" w:cs="Arial"/>
          <w:i/>
          <w:iCs/>
        </w:rPr>
        <w:t>“de la misma forma”</w:t>
      </w:r>
      <w:r w:rsidR="00FD471C" w:rsidRPr="000F7A76">
        <w:rPr>
          <w:rFonts w:ascii="Arial" w:hAnsi="Arial" w:cs="Arial"/>
        </w:rPr>
        <w:t>; es decir, la suspensión tendrá lugar con los mismos requisitos establecidos en el apartado 1.</w:t>
      </w:r>
    </w:p>
    <w:p w:rsidR="00B4377A" w:rsidRPr="000F7A76" w:rsidRDefault="00B4377A" w:rsidP="005410A2">
      <w:pPr>
        <w:spacing w:line="360" w:lineRule="auto"/>
        <w:jc w:val="both"/>
        <w:rPr>
          <w:rFonts w:ascii="Arial" w:hAnsi="Arial" w:cs="Arial"/>
        </w:rPr>
      </w:pPr>
    </w:p>
    <w:p w:rsidR="00B4377A" w:rsidRPr="000F7A76" w:rsidRDefault="00C957B3" w:rsidP="005410A2">
      <w:p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>En el caso de las entidades locales, la declaración de la imposibilidad de cumplir con los plazos de remisión</w:t>
      </w:r>
      <w:r w:rsidR="00B94921">
        <w:rPr>
          <w:rFonts w:ascii="Arial" w:hAnsi="Arial" w:cs="Arial"/>
        </w:rPr>
        <w:t xml:space="preserve"> de las cuentas</w:t>
      </w:r>
      <w:r w:rsidRPr="000F7A76">
        <w:rPr>
          <w:rFonts w:ascii="Arial" w:hAnsi="Arial" w:cs="Arial"/>
        </w:rPr>
        <w:t xml:space="preserve"> y su comunicación al Tribunal de Cuentas corresponderá al representante de la entidad local.</w:t>
      </w:r>
    </w:p>
    <w:p w:rsidR="00C957B3" w:rsidRPr="000F7A76" w:rsidRDefault="00C957B3" w:rsidP="005410A2">
      <w:pPr>
        <w:spacing w:line="360" w:lineRule="auto"/>
        <w:jc w:val="both"/>
        <w:rPr>
          <w:rFonts w:ascii="Arial" w:hAnsi="Arial" w:cs="Arial"/>
        </w:rPr>
      </w:pPr>
    </w:p>
    <w:p w:rsidR="00C957B3" w:rsidRPr="000F7A76" w:rsidRDefault="00C957B3" w:rsidP="005410A2">
      <w:pPr>
        <w:spacing w:line="360" w:lineRule="auto"/>
        <w:jc w:val="both"/>
        <w:rPr>
          <w:rFonts w:ascii="Arial" w:hAnsi="Arial" w:cs="Arial"/>
          <w:b/>
          <w:bCs/>
        </w:rPr>
      </w:pPr>
      <w:r w:rsidRPr="000F7A76">
        <w:rPr>
          <w:rFonts w:ascii="Arial" w:hAnsi="Arial" w:cs="Arial"/>
          <w:b/>
          <w:bCs/>
        </w:rPr>
        <w:t>2.- Ámbito objetivo del artículo 48</w:t>
      </w:r>
      <w:r w:rsidR="00A90F28" w:rsidRPr="000F7A76">
        <w:rPr>
          <w:rFonts w:ascii="Arial" w:hAnsi="Arial" w:cs="Arial"/>
          <w:b/>
          <w:bCs/>
        </w:rPr>
        <w:t>.2</w:t>
      </w:r>
      <w:r w:rsidRPr="000F7A76">
        <w:rPr>
          <w:rFonts w:ascii="Arial" w:hAnsi="Arial" w:cs="Arial"/>
          <w:b/>
          <w:bCs/>
        </w:rPr>
        <w:t>: información comprendida en el mismo</w:t>
      </w:r>
      <w:r w:rsidR="00A41E24" w:rsidRPr="000F7A76">
        <w:rPr>
          <w:rFonts w:ascii="Arial" w:hAnsi="Arial" w:cs="Arial"/>
          <w:b/>
          <w:bCs/>
        </w:rPr>
        <w:t>; en particular, la relativa al control interno de las entidades locales</w:t>
      </w:r>
    </w:p>
    <w:p w:rsidR="00C957B3" w:rsidRPr="000F7A76" w:rsidRDefault="00C957B3" w:rsidP="005410A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5744F" w:rsidRDefault="00C957B3" w:rsidP="00D5744F">
      <w:p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El apartado </w:t>
      </w:r>
      <w:r w:rsidR="00A90F28" w:rsidRPr="000F7A76">
        <w:rPr>
          <w:rFonts w:ascii="Arial" w:hAnsi="Arial" w:cs="Arial"/>
        </w:rPr>
        <w:t>2</w:t>
      </w:r>
      <w:r w:rsidRPr="000F7A76">
        <w:rPr>
          <w:rFonts w:ascii="Arial" w:hAnsi="Arial" w:cs="Arial"/>
        </w:rPr>
        <w:t xml:space="preserve"> del artículo 48 regula la suspensión de los plazos de </w:t>
      </w:r>
      <w:r w:rsidRPr="00B94921">
        <w:rPr>
          <w:rFonts w:ascii="Arial" w:hAnsi="Arial" w:cs="Arial"/>
          <w:i/>
          <w:iCs/>
        </w:rPr>
        <w:t>“</w:t>
      </w:r>
      <w:proofErr w:type="spellStart"/>
      <w:r w:rsidRPr="00B94921">
        <w:rPr>
          <w:rFonts w:ascii="Arial" w:hAnsi="Arial" w:cs="Arial"/>
          <w:i/>
          <w:iCs/>
        </w:rPr>
        <w:t>remisión</w:t>
      </w:r>
      <w:proofErr w:type="spellEnd"/>
      <w:r w:rsidRPr="00B94921">
        <w:rPr>
          <w:rFonts w:ascii="Arial" w:hAnsi="Arial" w:cs="Arial"/>
          <w:i/>
          <w:iCs/>
        </w:rPr>
        <w:t xml:space="preserve"> de las cuentas y el resto de la </w:t>
      </w:r>
      <w:proofErr w:type="spellStart"/>
      <w:r w:rsidRPr="00B94921">
        <w:rPr>
          <w:rFonts w:ascii="Arial" w:hAnsi="Arial" w:cs="Arial"/>
          <w:i/>
          <w:iCs/>
        </w:rPr>
        <w:t>información</w:t>
      </w:r>
      <w:proofErr w:type="spellEnd"/>
      <w:r w:rsidRPr="00B94921">
        <w:rPr>
          <w:rFonts w:ascii="Arial" w:hAnsi="Arial" w:cs="Arial"/>
          <w:i/>
          <w:iCs/>
        </w:rPr>
        <w:t xml:space="preserve"> financiera al Tribunal de Cuentas”.</w:t>
      </w:r>
      <w:r w:rsidRPr="000F7A76">
        <w:rPr>
          <w:rFonts w:ascii="Arial" w:hAnsi="Arial" w:cs="Arial"/>
        </w:rPr>
        <w:t xml:space="preserve"> </w:t>
      </w:r>
      <w:r w:rsidR="00E93BD3" w:rsidRPr="000F7A76">
        <w:rPr>
          <w:rFonts w:ascii="Arial" w:hAnsi="Arial" w:cs="Arial"/>
        </w:rPr>
        <w:t xml:space="preserve">De acuerdo con una interpretación que atienda al </w:t>
      </w:r>
      <w:r w:rsidR="00E93BD3" w:rsidRPr="00B94921">
        <w:rPr>
          <w:rFonts w:ascii="Arial" w:hAnsi="Arial" w:cs="Arial"/>
          <w:i/>
          <w:iCs/>
        </w:rPr>
        <w:t xml:space="preserve">“espíritu y finalidad” </w:t>
      </w:r>
      <w:r w:rsidR="00E93BD3" w:rsidRPr="000F7A76">
        <w:rPr>
          <w:rFonts w:ascii="Arial" w:hAnsi="Arial" w:cs="Arial"/>
        </w:rPr>
        <w:t>de las normas</w:t>
      </w:r>
      <w:r w:rsidR="00D5744F">
        <w:rPr>
          <w:rFonts w:ascii="Arial" w:hAnsi="Arial" w:cs="Arial"/>
        </w:rPr>
        <w:t xml:space="preserve"> que regulan la actuación del Tribunal de Cuentas, el concepto de </w:t>
      </w:r>
      <w:r w:rsidR="00D5744F" w:rsidRPr="00D5744F">
        <w:rPr>
          <w:rFonts w:ascii="Arial" w:hAnsi="Arial" w:cs="Arial"/>
          <w:i/>
          <w:iCs/>
        </w:rPr>
        <w:t>“información financiera”</w:t>
      </w:r>
      <w:r w:rsidR="00E93BD3" w:rsidRPr="000F7A76">
        <w:rPr>
          <w:rFonts w:ascii="Arial" w:hAnsi="Arial" w:cs="Arial"/>
        </w:rPr>
        <w:t xml:space="preserve"> </w:t>
      </w:r>
      <w:r w:rsidR="00A90F28" w:rsidRPr="000F7A76">
        <w:rPr>
          <w:rFonts w:ascii="Arial" w:hAnsi="Arial" w:cs="Arial"/>
        </w:rPr>
        <w:t>va más allá de los estados financieros que integran las cuentas en sentido estricto de una entidad pública</w:t>
      </w:r>
      <w:r w:rsidR="00794CA4" w:rsidRPr="000F7A76">
        <w:rPr>
          <w:rFonts w:ascii="Arial" w:hAnsi="Arial" w:cs="Arial"/>
        </w:rPr>
        <w:t>,</w:t>
      </w:r>
      <w:r w:rsidR="00405045" w:rsidRPr="000F7A76">
        <w:rPr>
          <w:rFonts w:ascii="Arial" w:hAnsi="Arial" w:cs="Arial"/>
        </w:rPr>
        <w:t xml:space="preserve"> para </w:t>
      </w:r>
      <w:r w:rsidR="00E93BD3" w:rsidRPr="000F7A76">
        <w:rPr>
          <w:rFonts w:ascii="Arial" w:hAnsi="Arial" w:cs="Arial"/>
        </w:rPr>
        <w:t>inclu</w:t>
      </w:r>
      <w:r w:rsidR="00405045" w:rsidRPr="000F7A76">
        <w:rPr>
          <w:rFonts w:ascii="Arial" w:hAnsi="Arial" w:cs="Arial"/>
        </w:rPr>
        <w:t>ir</w:t>
      </w:r>
      <w:r w:rsidR="00A90F28" w:rsidRPr="000F7A76">
        <w:rPr>
          <w:rFonts w:ascii="Arial" w:hAnsi="Arial" w:cs="Arial"/>
        </w:rPr>
        <w:t xml:space="preserve"> toda aquella información que afecte directa o indirectamente a los derechos y obligaciones de la hacienda pública</w:t>
      </w:r>
      <w:r w:rsidR="00D5744F">
        <w:rPr>
          <w:rFonts w:ascii="Arial" w:hAnsi="Arial" w:cs="Arial"/>
        </w:rPr>
        <w:t>;</w:t>
      </w:r>
      <w:r w:rsidR="00A90F28" w:rsidRPr="000F7A76">
        <w:rPr>
          <w:rFonts w:ascii="Arial" w:hAnsi="Arial" w:cs="Arial"/>
        </w:rPr>
        <w:t xml:space="preserve"> </w:t>
      </w:r>
      <w:r w:rsidR="00D5744F">
        <w:rPr>
          <w:rFonts w:ascii="Arial" w:hAnsi="Arial" w:cs="Arial"/>
        </w:rPr>
        <w:t xml:space="preserve">información </w:t>
      </w:r>
      <w:r w:rsidR="00A90F28" w:rsidRPr="000F7A76">
        <w:rPr>
          <w:rFonts w:ascii="Arial" w:hAnsi="Arial" w:cs="Arial"/>
        </w:rPr>
        <w:t xml:space="preserve">que es necesaria para que el Tribunal de </w:t>
      </w:r>
      <w:r w:rsidR="00A90F28" w:rsidRPr="000F7A76">
        <w:rPr>
          <w:rFonts w:ascii="Arial" w:hAnsi="Arial" w:cs="Arial"/>
        </w:rPr>
        <w:lastRenderedPageBreak/>
        <w:t xml:space="preserve">Cuentas pueda desarrollar su función de </w:t>
      </w:r>
      <w:r w:rsidR="00A90F28" w:rsidRPr="00EB13DE">
        <w:rPr>
          <w:rFonts w:ascii="Arial" w:hAnsi="Arial" w:cs="Arial"/>
          <w:i/>
          <w:iCs/>
        </w:rPr>
        <w:t>“fiscalización externa, permanente y consuntiva de la actividad económico-financiera del sector público”</w:t>
      </w:r>
      <w:r w:rsidR="00A90F28" w:rsidRPr="000F7A76">
        <w:rPr>
          <w:rFonts w:ascii="Arial" w:hAnsi="Arial" w:cs="Arial"/>
        </w:rPr>
        <w:t xml:space="preserve"> (artículo 2 L</w:t>
      </w:r>
      <w:r w:rsidR="009D3294">
        <w:rPr>
          <w:rFonts w:ascii="Arial" w:hAnsi="Arial" w:cs="Arial"/>
        </w:rPr>
        <w:t>ey Orgánica 2/1982, de 12 de mayo del Tribunal de Cuentas</w:t>
      </w:r>
      <w:r w:rsidR="00701D15">
        <w:rPr>
          <w:rFonts w:ascii="Arial" w:hAnsi="Arial" w:cs="Arial"/>
        </w:rPr>
        <w:t xml:space="preserve">, </w:t>
      </w:r>
      <w:proofErr w:type="spellStart"/>
      <w:r w:rsidR="00701D15">
        <w:rPr>
          <w:rFonts w:ascii="Arial" w:hAnsi="Arial" w:cs="Arial"/>
        </w:rPr>
        <w:t>LOTCu</w:t>
      </w:r>
      <w:proofErr w:type="spellEnd"/>
      <w:r w:rsidR="00A90F28" w:rsidRPr="000F7A76">
        <w:rPr>
          <w:rFonts w:ascii="Arial" w:hAnsi="Arial" w:cs="Arial"/>
        </w:rPr>
        <w:t>).</w:t>
      </w:r>
      <w:r w:rsidR="00CE1E45" w:rsidRPr="000F7A76">
        <w:rPr>
          <w:rFonts w:ascii="Arial" w:hAnsi="Arial" w:cs="Arial"/>
        </w:rPr>
        <w:t xml:space="preserve"> </w:t>
      </w:r>
    </w:p>
    <w:p w:rsidR="00FC0E77" w:rsidRDefault="00FC0E77" w:rsidP="00D5744F">
      <w:pPr>
        <w:spacing w:line="360" w:lineRule="auto"/>
        <w:jc w:val="both"/>
        <w:rPr>
          <w:rFonts w:ascii="Arial" w:hAnsi="Arial" w:cs="Arial"/>
        </w:rPr>
      </w:pPr>
    </w:p>
    <w:p w:rsidR="00EB13DE" w:rsidRDefault="00D5744F" w:rsidP="005410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esa información relativa a la gestión </w:t>
      </w:r>
      <w:r w:rsidR="00E80C1B">
        <w:rPr>
          <w:rFonts w:ascii="Arial" w:hAnsi="Arial" w:cs="Arial"/>
        </w:rPr>
        <w:t xml:space="preserve">económico-financiera se incluye </w:t>
      </w:r>
      <w:r w:rsidR="00E80C1B" w:rsidRPr="000F7A76">
        <w:rPr>
          <w:rFonts w:ascii="Arial" w:hAnsi="Arial" w:cs="Arial"/>
        </w:rPr>
        <w:t>la relativa al control interno de las entidades locales</w:t>
      </w:r>
      <w:r w:rsidR="00E80C1B">
        <w:rPr>
          <w:rFonts w:ascii="Arial" w:hAnsi="Arial" w:cs="Arial"/>
        </w:rPr>
        <w:t xml:space="preserve"> que los órganos de intervención local debe remitir al Tribunal de Cuentas conforme al artículo 218.3 del </w:t>
      </w:r>
      <w:r w:rsidR="00E80C1B" w:rsidRPr="000F7A76">
        <w:rPr>
          <w:rFonts w:ascii="Arial" w:hAnsi="Arial" w:cs="Arial"/>
        </w:rPr>
        <w:t>texto refundido de la Ley Reguladora de las Haciendas Locales, aprobado por Real Decreto Legislativo 2/2004, de 5 de marzo</w:t>
      </w:r>
      <w:r w:rsidR="00E80C1B">
        <w:rPr>
          <w:rFonts w:ascii="Arial" w:hAnsi="Arial" w:cs="Arial"/>
        </w:rPr>
        <w:t>;</w:t>
      </w:r>
      <w:r w:rsidR="00E80C1B" w:rsidRPr="000F7A76">
        <w:rPr>
          <w:rFonts w:ascii="Arial" w:hAnsi="Arial" w:cs="Arial"/>
        </w:rPr>
        <w:t xml:space="preserve"> </w:t>
      </w:r>
      <w:r w:rsidR="00E80C1B">
        <w:rPr>
          <w:rFonts w:ascii="Arial" w:hAnsi="Arial" w:cs="Arial"/>
        </w:rPr>
        <w:t xml:space="preserve">a los artículos 12.5, 15.7 y disposición adicional quinta del </w:t>
      </w:r>
      <w:r w:rsidR="00E80C1B" w:rsidRPr="000F7A76">
        <w:rPr>
          <w:rFonts w:ascii="Arial" w:hAnsi="Arial" w:cs="Arial"/>
        </w:rPr>
        <w:t>Real Decreto 424/2017, de 28 de abril, de régimen jurídico del control interno de las entidades del sector público local</w:t>
      </w:r>
      <w:r w:rsidR="00E80C1B">
        <w:rPr>
          <w:rFonts w:ascii="Arial" w:hAnsi="Arial" w:cs="Arial"/>
        </w:rPr>
        <w:t xml:space="preserve">; y a la </w:t>
      </w:r>
      <w:r w:rsidR="00E80C1B" w:rsidRPr="000F7A76">
        <w:rPr>
          <w:rFonts w:ascii="Arial" w:hAnsi="Arial" w:cs="Arial"/>
        </w:rPr>
        <w:t>Instrucción aprobada por Acuerdo del Pleno del Tribunal de Cuentas de 19 de diciembre de 201</w:t>
      </w:r>
      <w:r w:rsidR="00E80C1B">
        <w:rPr>
          <w:rFonts w:ascii="Arial" w:hAnsi="Arial" w:cs="Arial"/>
        </w:rPr>
        <w:t>9.</w:t>
      </w:r>
    </w:p>
    <w:p w:rsidR="00EB13DE" w:rsidRDefault="00EB13DE" w:rsidP="005410A2">
      <w:pPr>
        <w:spacing w:line="360" w:lineRule="auto"/>
        <w:jc w:val="both"/>
        <w:rPr>
          <w:rFonts w:ascii="Arial" w:hAnsi="Arial" w:cs="Arial"/>
        </w:rPr>
      </w:pPr>
    </w:p>
    <w:p w:rsidR="00794CA4" w:rsidRPr="00B94921" w:rsidRDefault="002F321B" w:rsidP="005410A2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El </w:t>
      </w:r>
      <w:r w:rsidR="00794CA4" w:rsidRPr="000F7A76">
        <w:rPr>
          <w:rFonts w:ascii="Arial" w:hAnsi="Arial" w:cs="Arial"/>
        </w:rPr>
        <w:t xml:space="preserve">plazo </w:t>
      </w:r>
      <w:r>
        <w:rPr>
          <w:rFonts w:ascii="Arial" w:hAnsi="Arial" w:cs="Arial"/>
        </w:rPr>
        <w:t xml:space="preserve">y forma </w:t>
      </w:r>
      <w:r w:rsidR="00794CA4" w:rsidRPr="000F7A76">
        <w:rPr>
          <w:rFonts w:ascii="Arial" w:hAnsi="Arial" w:cs="Arial"/>
        </w:rPr>
        <w:t xml:space="preserve">de remisión de </w:t>
      </w:r>
      <w:r>
        <w:rPr>
          <w:rFonts w:ascii="Arial" w:hAnsi="Arial" w:cs="Arial"/>
        </w:rPr>
        <w:t>esta</w:t>
      </w:r>
      <w:r w:rsidR="00794CA4" w:rsidRPr="000F7A76">
        <w:rPr>
          <w:rFonts w:ascii="Arial" w:hAnsi="Arial" w:cs="Arial"/>
        </w:rPr>
        <w:t xml:space="preserve"> información está regulad</w:t>
      </w:r>
      <w:r>
        <w:rPr>
          <w:rFonts w:ascii="Arial" w:hAnsi="Arial" w:cs="Arial"/>
        </w:rPr>
        <w:t xml:space="preserve">o </w:t>
      </w:r>
      <w:r w:rsidR="00794CA4" w:rsidRPr="000F7A7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el apartado IV.1 de</w:t>
      </w:r>
      <w:r w:rsidR="00794CA4" w:rsidRPr="000F7A76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citada </w:t>
      </w:r>
      <w:r w:rsidR="00794CA4" w:rsidRPr="000F7A76">
        <w:rPr>
          <w:rFonts w:ascii="Arial" w:hAnsi="Arial" w:cs="Arial"/>
        </w:rPr>
        <w:t xml:space="preserve">Instrucción de 19 de diciembre de 2019, </w:t>
      </w:r>
      <w:r>
        <w:rPr>
          <w:rFonts w:ascii="Arial" w:hAnsi="Arial" w:cs="Arial"/>
        </w:rPr>
        <w:t xml:space="preserve">conforme al cual la </w:t>
      </w:r>
      <w:r w:rsidR="00794CA4" w:rsidRPr="000F7A76">
        <w:rPr>
          <w:rFonts w:ascii="Arial" w:hAnsi="Arial" w:cs="Arial"/>
        </w:rPr>
        <w:t xml:space="preserve">remisión </w:t>
      </w:r>
      <w:r w:rsidR="00794CA4" w:rsidRPr="000F7A76">
        <w:rPr>
          <w:rFonts w:ascii="Arial" w:hAnsi="Arial" w:cs="Arial"/>
          <w:color w:val="000000"/>
          <w:shd w:val="clear" w:color="auto" w:fill="FFFFFF"/>
        </w:rPr>
        <w:t>se efectuará a través de la Plataforma de Rendición de Cuentas de las Entidades Locales con anterioridad al 30 de abril del ejercicio siguiente a aquel a que se refieran</w:t>
      </w:r>
      <w:r w:rsidR="00123DC4">
        <w:rPr>
          <w:rFonts w:ascii="Arial" w:hAnsi="Arial" w:cs="Arial"/>
          <w:color w:val="000000"/>
          <w:shd w:val="clear" w:color="auto" w:fill="FFFFFF"/>
        </w:rPr>
        <w:t xml:space="preserve">. La aplicación de la regulación contenida en el artículo 48 del Real Decreto-Ley 11/2020 </w:t>
      </w:r>
      <w:r w:rsidR="006E7568">
        <w:rPr>
          <w:rFonts w:ascii="Arial" w:hAnsi="Arial" w:cs="Arial"/>
          <w:color w:val="000000"/>
          <w:shd w:val="clear" w:color="auto" w:fill="FFFFFF"/>
        </w:rPr>
        <w:t xml:space="preserve">también </w:t>
      </w:r>
      <w:r w:rsidR="00123DC4">
        <w:rPr>
          <w:rFonts w:ascii="Arial" w:hAnsi="Arial" w:cs="Arial"/>
          <w:color w:val="000000"/>
          <w:shd w:val="clear" w:color="auto" w:fill="FFFFFF"/>
        </w:rPr>
        <w:t>a</w:t>
      </w:r>
      <w:r w:rsidR="006E7568">
        <w:rPr>
          <w:rFonts w:ascii="Arial" w:hAnsi="Arial" w:cs="Arial"/>
          <w:color w:val="000000"/>
          <w:shd w:val="clear" w:color="auto" w:fill="FFFFFF"/>
        </w:rPr>
        <w:t xml:space="preserve"> este plazo</w:t>
      </w:r>
      <w:r w:rsidR="00FC0E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7568">
        <w:rPr>
          <w:rFonts w:ascii="Arial" w:hAnsi="Arial" w:cs="Arial"/>
          <w:color w:val="000000"/>
          <w:shd w:val="clear" w:color="auto" w:fill="FFFFFF"/>
        </w:rPr>
        <w:t>viene exigida por el principio de jerarquía normativa</w:t>
      </w:r>
      <w:r w:rsidR="006E7568" w:rsidRPr="006E7568">
        <w:rPr>
          <w:rFonts w:ascii="Arial" w:hAnsi="Arial" w:cs="Arial"/>
        </w:rPr>
        <w:t xml:space="preserve"> </w:t>
      </w:r>
      <w:r w:rsidR="006E7568">
        <w:rPr>
          <w:rFonts w:ascii="Arial" w:hAnsi="Arial" w:cs="Arial"/>
        </w:rPr>
        <w:t xml:space="preserve">y por el propio tenor del artículo 48.2, que se refiere a </w:t>
      </w:r>
      <w:r w:rsidR="006E7568" w:rsidRPr="00B94921">
        <w:rPr>
          <w:rFonts w:ascii="Arial" w:hAnsi="Arial" w:cs="Arial"/>
          <w:i/>
          <w:iCs/>
        </w:rPr>
        <w:t xml:space="preserve">“los plazos previstos en la </w:t>
      </w:r>
      <w:r w:rsidR="006E7568" w:rsidRPr="00B94921">
        <w:rPr>
          <w:rFonts w:ascii="Arial" w:hAnsi="Arial" w:cs="Arial"/>
          <w:i/>
          <w:iCs/>
          <w:u w:val="single"/>
        </w:rPr>
        <w:t>normativa reguladora</w:t>
      </w:r>
      <w:r w:rsidR="006E7568" w:rsidRPr="00B94921">
        <w:rPr>
          <w:rFonts w:ascii="Arial" w:hAnsi="Arial" w:cs="Arial"/>
          <w:i/>
          <w:iCs/>
        </w:rPr>
        <w:t xml:space="preserve"> </w:t>
      </w:r>
      <w:r w:rsidR="00B94921" w:rsidRPr="00B94921">
        <w:rPr>
          <w:rFonts w:ascii="Arial" w:hAnsi="Arial" w:cs="Arial"/>
        </w:rPr>
        <w:t>(lo que incluye las instrucciones que aprueba el Pleno)</w:t>
      </w:r>
      <w:r w:rsidR="00B94921">
        <w:rPr>
          <w:rFonts w:ascii="Arial" w:hAnsi="Arial" w:cs="Arial"/>
          <w:i/>
          <w:iCs/>
        </w:rPr>
        <w:t xml:space="preserve"> </w:t>
      </w:r>
      <w:r w:rsidR="006E7568" w:rsidRPr="00B94921">
        <w:rPr>
          <w:rFonts w:ascii="Arial" w:hAnsi="Arial" w:cs="Arial"/>
          <w:i/>
          <w:iCs/>
        </w:rPr>
        <w:t xml:space="preserve">de la </w:t>
      </w:r>
      <w:proofErr w:type="spellStart"/>
      <w:r w:rsidR="006E7568" w:rsidRPr="00B94921">
        <w:rPr>
          <w:rFonts w:ascii="Arial" w:hAnsi="Arial" w:cs="Arial"/>
          <w:i/>
          <w:iCs/>
        </w:rPr>
        <w:t>remisión</w:t>
      </w:r>
      <w:proofErr w:type="spellEnd"/>
      <w:r w:rsidR="006E7568" w:rsidRPr="00B94921">
        <w:rPr>
          <w:rFonts w:ascii="Arial" w:hAnsi="Arial" w:cs="Arial"/>
          <w:i/>
          <w:iCs/>
        </w:rPr>
        <w:t xml:space="preserve"> de las cuentas y el resto de la </w:t>
      </w:r>
      <w:proofErr w:type="spellStart"/>
      <w:r w:rsidR="006E7568" w:rsidRPr="00B94921">
        <w:rPr>
          <w:rFonts w:ascii="Arial" w:hAnsi="Arial" w:cs="Arial"/>
          <w:i/>
          <w:iCs/>
        </w:rPr>
        <w:t>información</w:t>
      </w:r>
      <w:proofErr w:type="spellEnd"/>
      <w:r w:rsidR="006E7568" w:rsidRPr="00B94921">
        <w:rPr>
          <w:rFonts w:ascii="Arial" w:hAnsi="Arial" w:cs="Arial"/>
          <w:i/>
          <w:iCs/>
        </w:rPr>
        <w:t xml:space="preserve"> financiera al Tribunal de Cuentas”.</w:t>
      </w:r>
    </w:p>
    <w:p w:rsidR="00A41E24" w:rsidRPr="000F7A76" w:rsidRDefault="00A41E24" w:rsidP="005410A2">
      <w:pPr>
        <w:spacing w:line="360" w:lineRule="auto"/>
        <w:jc w:val="both"/>
        <w:rPr>
          <w:rFonts w:ascii="Arial" w:hAnsi="Arial" w:cs="Arial"/>
        </w:rPr>
      </w:pPr>
    </w:p>
    <w:p w:rsidR="00A41E24" w:rsidRDefault="00405045" w:rsidP="005410A2">
      <w:pPr>
        <w:spacing w:line="360" w:lineRule="auto"/>
        <w:jc w:val="both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En consecuencia, </w:t>
      </w:r>
      <w:r w:rsidR="00A41E24" w:rsidRPr="000F7A76">
        <w:rPr>
          <w:rFonts w:ascii="Arial" w:hAnsi="Arial" w:cs="Arial"/>
        </w:rPr>
        <w:t>por aplicación del artículo 48</w:t>
      </w:r>
      <w:r w:rsidR="006E7568">
        <w:rPr>
          <w:rFonts w:ascii="Arial" w:hAnsi="Arial" w:cs="Arial"/>
        </w:rPr>
        <w:t>, apartados 2 y 3,</w:t>
      </w:r>
      <w:r w:rsidR="00A41E24" w:rsidRPr="000F7A76">
        <w:rPr>
          <w:rFonts w:ascii="Arial" w:hAnsi="Arial" w:cs="Arial"/>
        </w:rPr>
        <w:t xml:space="preserve"> del Real Decreto-Ley 11/2020, de 31 de marzo, los órganos de intervención local deberán procurar remitir al Tribunal de Cuentas la información sobre control interno a que están obligados  conforme a las citadas disposiciones antes del </w:t>
      </w:r>
      <w:r w:rsidR="00A41E24" w:rsidRPr="000F7A76">
        <w:rPr>
          <w:rFonts w:ascii="Arial" w:hAnsi="Arial" w:cs="Arial"/>
        </w:rPr>
        <w:lastRenderedPageBreak/>
        <w:t>30 de abril, tal y como establece el apartado IV de la Instrucción</w:t>
      </w:r>
      <w:r w:rsidR="000F7A76" w:rsidRPr="000F7A76">
        <w:rPr>
          <w:rFonts w:ascii="Arial" w:hAnsi="Arial" w:cs="Arial"/>
        </w:rPr>
        <w:t xml:space="preserve"> del Pleno de 19 de diciembre de 2019</w:t>
      </w:r>
      <w:r w:rsidR="00A41E24" w:rsidRPr="000F7A76">
        <w:rPr>
          <w:rFonts w:ascii="Arial" w:hAnsi="Arial" w:cs="Arial"/>
        </w:rPr>
        <w:t xml:space="preserve">. Solo en el caso de </w:t>
      </w:r>
      <w:r w:rsidR="00805E68" w:rsidRPr="000F7A76">
        <w:rPr>
          <w:rFonts w:ascii="Arial" w:hAnsi="Arial" w:cs="Arial"/>
        </w:rPr>
        <w:t xml:space="preserve">que </w:t>
      </w:r>
      <w:r w:rsidR="00A41E24" w:rsidRPr="000F7A76">
        <w:rPr>
          <w:rFonts w:ascii="Arial" w:hAnsi="Arial" w:cs="Arial"/>
        </w:rPr>
        <w:t xml:space="preserve">por motivo de la </w:t>
      </w:r>
      <w:proofErr w:type="spellStart"/>
      <w:r w:rsidR="00A41E24" w:rsidRPr="000F7A76">
        <w:rPr>
          <w:rFonts w:ascii="Arial" w:hAnsi="Arial" w:cs="Arial"/>
        </w:rPr>
        <w:t>declaración</w:t>
      </w:r>
      <w:proofErr w:type="spellEnd"/>
      <w:r w:rsidR="00A41E24" w:rsidRPr="000F7A76">
        <w:rPr>
          <w:rFonts w:ascii="Arial" w:hAnsi="Arial" w:cs="Arial"/>
        </w:rPr>
        <w:t xml:space="preserve"> de estado de alarma ello no fuera posible</w:t>
      </w:r>
      <w:r w:rsidR="00805E68" w:rsidRPr="000F7A76">
        <w:rPr>
          <w:rFonts w:ascii="Arial" w:hAnsi="Arial" w:cs="Arial"/>
        </w:rPr>
        <w:t xml:space="preserve"> y el </w:t>
      </w:r>
      <w:r w:rsidR="00EB13DE">
        <w:rPr>
          <w:rFonts w:ascii="Arial" w:hAnsi="Arial" w:cs="Arial"/>
        </w:rPr>
        <w:t xml:space="preserve">órgano </w:t>
      </w:r>
      <w:r w:rsidR="00805E68" w:rsidRPr="000F7A76">
        <w:rPr>
          <w:rFonts w:ascii="Arial" w:hAnsi="Arial" w:cs="Arial"/>
        </w:rPr>
        <w:t>interventor así lo declara</w:t>
      </w:r>
      <w:r w:rsidR="000E5950">
        <w:rPr>
          <w:rFonts w:ascii="Arial" w:hAnsi="Arial" w:cs="Arial"/>
        </w:rPr>
        <w:t xml:space="preserve"> </w:t>
      </w:r>
      <w:r w:rsidR="00805E68" w:rsidRPr="000F7A76">
        <w:rPr>
          <w:rFonts w:ascii="Arial" w:hAnsi="Arial" w:cs="Arial"/>
        </w:rPr>
        <w:t>y lo comunica al Tribunal de Cuentas,</w:t>
      </w:r>
      <w:r w:rsidR="00A41E24" w:rsidRPr="000F7A76">
        <w:rPr>
          <w:rFonts w:ascii="Arial" w:hAnsi="Arial" w:cs="Arial"/>
        </w:rPr>
        <w:t xml:space="preserve"> se ampliará el plazo previsto en un periodo equivalente al de la </w:t>
      </w:r>
      <w:proofErr w:type="spellStart"/>
      <w:r w:rsidR="00A41E24" w:rsidRPr="000F7A76">
        <w:rPr>
          <w:rFonts w:ascii="Arial" w:hAnsi="Arial" w:cs="Arial"/>
        </w:rPr>
        <w:t>duración</w:t>
      </w:r>
      <w:proofErr w:type="spellEnd"/>
      <w:r w:rsidR="00A41E24" w:rsidRPr="000F7A76">
        <w:rPr>
          <w:rFonts w:ascii="Arial" w:hAnsi="Arial" w:cs="Arial"/>
        </w:rPr>
        <w:t xml:space="preserve"> efectiva del estado de alarma</w:t>
      </w:r>
      <w:r w:rsidR="000F7A76" w:rsidRPr="000F7A76">
        <w:rPr>
          <w:rFonts w:ascii="Arial" w:hAnsi="Arial" w:cs="Arial"/>
        </w:rPr>
        <w:t xml:space="preserve"> una vez levantado este</w:t>
      </w:r>
      <w:r w:rsidR="00805E68" w:rsidRPr="000F7A76">
        <w:rPr>
          <w:rFonts w:ascii="Arial" w:hAnsi="Arial" w:cs="Arial"/>
        </w:rPr>
        <w:t>.</w:t>
      </w:r>
    </w:p>
    <w:p w:rsidR="00EB13DE" w:rsidRDefault="00EB13DE" w:rsidP="005410A2">
      <w:pPr>
        <w:pStyle w:val="Ttulo2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EB13DE" w:rsidRDefault="00EB13DE" w:rsidP="005410A2">
      <w:pPr>
        <w:pStyle w:val="Ttulo2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7D5810" w:rsidRDefault="007D5810" w:rsidP="005410A2">
      <w:pPr>
        <w:pStyle w:val="Ttulo2"/>
        <w:spacing w:before="0" w:beforeAutospacing="0" w:after="0" w:afterAutospacing="0" w:line="360" w:lineRule="auto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701D15" w:rsidRDefault="00701D15" w:rsidP="005410A2">
      <w:pPr>
        <w:pStyle w:val="Ttulo2"/>
        <w:spacing w:before="0" w:beforeAutospacing="0" w:after="0" w:afterAutospacing="0" w:line="360" w:lineRule="auto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Madrid, a </w:t>
      </w:r>
      <w:r w:rsidR="00D5744F">
        <w:rPr>
          <w:rFonts w:ascii="Arial" w:hAnsi="Arial" w:cs="Arial"/>
          <w:b w:val="0"/>
          <w:bCs w:val="0"/>
          <w:sz w:val="24"/>
          <w:szCs w:val="24"/>
        </w:rPr>
        <w:t>6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 abril de 2020</w:t>
      </w:r>
      <w:bookmarkStart w:id="0" w:name="_GoBack"/>
      <w:bookmarkEnd w:id="0"/>
    </w:p>
    <w:sectPr w:rsidR="00701D15" w:rsidSect="00B354E8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D8" w:rsidRDefault="00821CD8" w:rsidP="009D3294">
      <w:r>
        <w:separator/>
      </w:r>
    </w:p>
  </w:endnote>
  <w:endnote w:type="continuationSeparator" w:id="0">
    <w:p w:rsidR="00821CD8" w:rsidRDefault="00821CD8" w:rsidP="009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9816592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9D3294" w:rsidRDefault="009D3294" w:rsidP="000B19B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9D3294" w:rsidRDefault="009D3294" w:rsidP="009D32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7758340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9D3294" w:rsidRDefault="009D3294" w:rsidP="000B19B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81566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:rsidR="009D3294" w:rsidRDefault="009D3294" w:rsidP="009D32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D8" w:rsidRDefault="00821CD8" w:rsidP="009D3294">
      <w:r>
        <w:separator/>
      </w:r>
    </w:p>
  </w:footnote>
  <w:footnote w:type="continuationSeparator" w:id="0">
    <w:p w:rsidR="00821CD8" w:rsidRDefault="00821CD8" w:rsidP="009D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</w:tblGrid>
    <w:tr w:rsidR="00581566" w:rsidRPr="00C97372" w:rsidTr="005F1370">
      <w:trPr>
        <w:trHeight w:val="227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bookmarkStart w:id="1" w:name="_MON_1614673089"/>
        <w:bookmarkEnd w:id="1"/>
        <w:bookmarkStart w:id="2" w:name="_MON_1614673089"/>
        <w:bookmarkEnd w:id="2"/>
        <w:p w:rsidR="00581566" w:rsidRPr="00C97372" w:rsidRDefault="00581566" w:rsidP="005F1370">
          <w:pPr>
            <w:tabs>
              <w:tab w:val="left" w:pos="-720"/>
            </w:tabs>
            <w:suppressAutoHyphens/>
            <w:spacing w:after="54"/>
            <w:ind w:left="72"/>
            <w:jc w:val="center"/>
            <w:rPr>
              <w:rFonts w:ascii="Courier New" w:hAnsi="Courier New"/>
              <w:spacing w:val="-3"/>
              <w:lang w:val="en-US"/>
            </w:rPr>
          </w:pPr>
          <w:r w:rsidRPr="00C97372">
            <w:object w:dxaOrig="1231" w:dyaOrig="12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75pt;height:43.65pt" o:ole="" o:allowoverlap="f">
                <v:imagedata r:id="rId1" o:title="" gain="5" blacklevel="6554f"/>
              </v:shape>
              <o:OLEObject Type="Embed" ProgID="Word.Picture.8" ShapeID="_x0000_i1025" DrawAspect="Content" ObjectID="_1647772372" r:id="rId2"/>
            </w:object>
          </w:r>
        </w:p>
      </w:tc>
    </w:tr>
    <w:tr w:rsidR="00581566" w:rsidRPr="00C97372" w:rsidTr="005F1370">
      <w:trPr>
        <w:trHeight w:val="20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581566" w:rsidRPr="00B037E4" w:rsidRDefault="00581566" w:rsidP="005F1370">
          <w:pPr>
            <w:tabs>
              <w:tab w:val="left" w:pos="-720"/>
            </w:tabs>
            <w:suppressAutoHyphens/>
            <w:jc w:val="center"/>
            <w:rPr>
              <w:rFonts w:ascii="Helvetica" w:hAnsi="Helvetica" w:cs="Arial"/>
              <w:sz w:val="18"/>
              <w:szCs w:val="18"/>
            </w:rPr>
          </w:pPr>
          <w:r w:rsidRPr="00B037E4">
            <w:rPr>
              <w:rFonts w:ascii="Helvetica" w:hAnsi="Helvetica" w:cs="Arial"/>
              <w:sz w:val="18"/>
              <w:szCs w:val="18"/>
            </w:rPr>
            <w:t>TRIBUNAL DE CUENTAS</w:t>
          </w:r>
        </w:p>
        <w:p w:rsidR="00581566" w:rsidRDefault="00581566" w:rsidP="005F1370">
          <w:pPr>
            <w:tabs>
              <w:tab w:val="left" w:pos="-720"/>
            </w:tabs>
            <w:suppressAutoHyphens/>
            <w:jc w:val="center"/>
            <w:rPr>
              <w:rFonts w:ascii="Helvetica" w:hAnsi="Helvetica" w:cs="Arial"/>
              <w:sz w:val="16"/>
              <w:szCs w:val="16"/>
            </w:rPr>
          </w:pP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</w:p>
        <w:p w:rsidR="00581566" w:rsidRDefault="00581566" w:rsidP="005F1370">
          <w:pPr>
            <w:tabs>
              <w:tab w:val="left" w:pos="-720"/>
            </w:tabs>
            <w:suppressAutoHyphens/>
            <w:jc w:val="center"/>
            <w:rPr>
              <w:rFonts w:ascii="Helvetica" w:hAnsi="Helvetica" w:cs="Arial"/>
              <w:sz w:val="16"/>
              <w:szCs w:val="16"/>
            </w:rPr>
          </w:pPr>
          <w:r w:rsidRPr="00CF0A4D">
            <w:rPr>
              <w:rFonts w:ascii="Helvetica" w:hAnsi="Helvetica" w:cs="Arial"/>
              <w:sz w:val="16"/>
              <w:szCs w:val="16"/>
            </w:rPr>
            <w:t>SECCIÓN DE FISCALIZACIÓN</w:t>
          </w:r>
        </w:p>
        <w:p w:rsidR="00581566" w:rsidRPr="00CF0A4D" w:rsidRDefault="00581566" w:rsidP="005F1370">
          <w:pPr>
            <w:tabs>
              <w:tab w:val="left" w:pos="-720"/>
            </w:tabs>
            <w:suppressAutoHyphens/>
            <w:jc w:val="center"/>
            <w:rPr>
              <w:rFonts w:ascii="Helvetica" w:hAnsi="Helvetica" w:cs="Arial"/>
              <w:sz w:val="16"/>
              <w:szCs w:val="16"/>
            </w:rPr>
          </w:pP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  <w:r>
            <w:rPr>
              <w:rFonts w:ascii="Helvetica" w:hAnsi="Helvetica" w:cs="Arial"/>
              <w:sz w:val="16"/>
              <w:szCs w:val="16"/>
            </w:rPr>
            <w:sym w:font="Symbol" w:char="F02D"/>
          </w:r>
        </w:p>
        <w:p w:rsidR="00581566" w:rsidRPr="00CF0A4D" w:rsidRDefault="00581566" w:rsidP="005F1370">
          <w:pPr>
            <w:tabs>
              <w:tab w:val="left" w:pos="-720"/>
            </w:tabs>
            <w:suppressAutoHyphens/>
            <w:spacing w:line="360" w:lineRule="auto"/>
            <w:jc w:val="center"/>
            <w:rPr>
              <w:spacing w:val="40"/>
              <w:sz w:val="14"/>
              <w:szCs w:val="16"/>
            </w:rPr>
          </w:pPr>
          <w:r w:rsidRPr="00CF0A4D">
            <w:rPr>
              <w:rFonts w:ascii="Helvetica" w:hAnsi="Helvetica" w:cs="Arial"/>
              <w:sz w:val="14"/>
              <w:szCs w:val="16"/>
            </w:rPr>
            <w:t>DEPARTAMENTO DE ENTIDADES LOCALES</w:t>
          </w:r>
        </w:p>
      </w:tc>
    </w:tr>
  </w:tbl>
  <w:p w:rsidR="00581566" w:rsidRDefault="00581566">
    <w:pPr>
      <w:pStyle w:val="Encabezado"/>
    </w:pPr>
  </w:p>
  <w:p w:rsidR="00581566" w:rsidRDefault="005815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87B8D"/>
    <w:multiLevelType w:val="hybridMultilevel"/>
    <w:tmpl w:val="D0D05564"/>
    <w:lvl w:ilvl="0" w:tplc="CC58EA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E1"/>
    <w:rsid w:val="00033BE1"/>
    <w:rsid w:val="000E5950"/>
    <w:rsid w:val="000F4C29"/>
    <w:rsid w:val="000F7A76"/>
    <w:rsid w:val="00123DC4"/>
    <w:rsid w:val="0018217D"/>
    <w:rsid w:val="001C28ED"/>
    <w:rsid w:val="001C5E99"/>
    <w:rsid w:val="001E25FC"/>
    <w:rsid w:val="00224492"/>
    <w:rsid w:val="002F321B"/>
    <w:rsid w:val="00405045"/>
    <w:rsid w:val="005410A2"/>
    <w:rsid w:val="00581566"/>
    <w:rsid w:val="00663269"/>
    <w:rsid w:val="006A5E8B"/>
    <w:rsid w:val="006E7568"/>
    <w:rsid w:val="00701D15"/>
    <w:rsid w:val="00794CA4"/>
    <w:rsid w:val="007D5810"/>
    <w:rsid w:val="00805E68"/>
    <w:rsid w:val="00821CD8"/>
    <w:rsid w:val="009500C1"/>
    <w:rsid w:val="0098321A"/>
    <w:rsid w:val="009D3294"/>
    <w:rsid w:val="00A41E24"/>
    <w:rsid w:val="00A90F28"/>
    <w:rsid w:val="00AA56C8"/>
    <w:rsid w:val="00AD3ECE"/>
    <w:rsid w:val="00AF411A"/>
    <w:rsid w:val="00B1025A"/>
    <w:rsid w:val="00B354E8"/>
    <w:rsid w:val="00B4377A"/>
    <w:rsid w:val="00B94921"/>
    <w:rsid w:val="00C2681F"/>
    <w:rsid w:val="00C71D43"/>
    <w:rsid w:val="00C957B3"/>
    <w:rsid w:val="00CE1E45"/>
    <w:rsid w:val="00D5744F"/>
    <w:rsid w:val="00D72005"/>
    <w:rsid w:val="00E4570F"/>
    <w:rsid w:val="00E80C1B"/>
    <w:rsid w:val="00E93BD3"/>
    <w:rsid w:val="00EB13DE"/>
    <w:rsid w:val="00F82ABB"/>
    <w:rsid w:val="00FC0E77"/>
    <w:rsid w:val="00FC25A8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8"/>
    <w:rPr>
      <w:rFonts w:ascii="Times New Roman" w:eastAsia="Times New Roman" w:hAnsi="Times New Roman" w:cs="Times New Roman"/>
      <w:lang w:val="es-ES" w:eastAsia="es-ES_tradnl"/>
    </w:rPr>
  </w:style>
  <w:style w:type="paragraph" w:styleId="Ttulo2">
    <w:name w:val="heading 2"/>
    <w:basedOn w:val="Normal"/>
    <w:link w:val="Ttulo2Car"/>
    <w:uiPriority w:val="9"/>
    <w:qFormat/>
    <w:rsid w:val="006E75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BE1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6326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D3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294"/>
    <w:rPr>
      <w:rFonts w:ascii="Times New Roman" w:eastAsia="Times New Roman" w:hAnsi="Times New Roman" w:cs="Times New Roman"/>
      <w:lang w:val="es-ES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9D3294"/>
  </w:style>
  <w:style w:type="character" w:customStyle="1" w:styleId="Ttulo2Car">
    <w:name w:val="Título 2 Car"/>
    <w:basedOn w:val="Fuentedeprrafopredeter"/>
    <w:link w:val="Ttulo2"/>
    <w:uiPriority w:val="9"/>
    <w:rsid w:val="006E7568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224492"/>
  </w:style>
  <w:style w:type="paragraph" w:styleId="Encabezado">
    <w:name w:val="header"/>
    <w:basedOn w:val="Normal"/>
    <w:link w:val="EncabezadoCar"/>
    <w:uiPriority w:val="99"/>
    <w:unhideWhenUsed/>
    <w:rsid w:val="00581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566"/>
    <w:rPr>
      <w:rFonts w:ascii="Times New Roman" w:eastAsia="Times New Roman" w:hAnsi="Times New Roman" w:cs="Times New Roman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28"/>
    <w:rPr>
      <w:rFonts w:ascii="Times New Roman" w:eastAsia="Times New Roman" w:hAnsi="Times New Roman" w:cs="Times New Roman"/>
      <w:lang w:val="es-ES" w:eastAsia="es-ES_tradnl"/>
    </w:rPr>
  </w:style>
  <w:style w:type="paragraph" w:styleId="Ttulo2">
    <w:name w:val="heading 2"/>
    <w:basedOn w:val="Normal"/>
    <w:link w:val="Ttulo2Car"/>
    <w:uiPriority w:val="9"/>
    <w:qFormat/>
    <w:rsid w:val="006E75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BE1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6326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D3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294"/>
    <w:rPr>
      <w:rFonts w:ascii="Times New Roman" w:eastAsia="Times New Roman" w:hAnsi="Times New Roman" w:cs="Times New Roman"/>
      <w:lang w:val="es-ES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9D3294"/>
  </w:style>
  <w:style w:type="character" w:customStyle="1" w:styleId="Ttulo2Car">
    <w:name w:val="Título 2 Car"/>
    <w:basedOn w:val="Fuentedeprrafopredeter"/>
    <w:link w:val="Ttulo2"/>
    <w:uiPriority w:val="9"/>
    <w:rsid w:val="006E7568"/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customStyle="1" w:styleId="apple-converted-space">
    <w:name w:val="apple-converted-space"/>
    <w:basedOn w:val="Fuentedeprrafopredeter"/>
    <w:rsid w:val="00224492"/>
  </w:style>
  <w:style w:type="paragraph" w:styleId="Encabezado">
    <w:name w:val="header"/>
    <w:basedOn w:val="Normal"/>
    <w:link w:val="EncabezadoCar"/>
    <w:uiPriority w:val="99"/>
    <w:unhideWhenUsed/>
    <w:rsid w:val="00581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566"/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Lorenz Falomir</dc:creator>
  <cp:keywords/>
  <dc:description/>
  <cp:lastModifiedBy>Rubio Jiménez, Ana Mª</cp:lastModifiedBy>
  <cp:revision>6</cp:revision>
  <dcterms:created xsi:type="dcterms:W3CDTF">2020-04-06T13:11:00Z</dcterms:created>
  <dcterms:modified xsi:type="dcterms:W3CDTF">2020-04-07T11:46:00Z</dcterms:modified>
</cp:coreProperties>
</file>